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519" w:rsidRDefault="00087479" w:rsidP="00087479">
      <w:pPr>
        <w:pStyle w:val="Title"/>
      </w:pPr>
      <w:r>
        <w:t>Online Appendix</w:t>
      </w:r>
    </w:p>
    <w:p w:rsidR="006F4CBF" w:rsidRDefault="00087479" w:rsidP="00087479">
      <w:pPr>
        <w:contextualSpacing/>
      </w:pPr>
      <w:r>
        <w:t xml:space="preserve">In this appendix we explore </w:t>
      </w:r>
      <w:r w:rsidR="0072308F">
        <w:t xml:space="preserve">the impact of changing the definition of a household. Here we say that household A (seen in wave t) is the same as household B (seen in wave t+1) if more than 50% of the members of household A are resident in household B. This rule is silent on what happens if a household splits exactly 50-50, as it would in the case of a divorce of a couple. One could arbitrarily designate one of the two resulting households as the successor, but there does not seem any non-arbitrary way of doing so. We have chosen, instead, to view the break-up of a household where no potential successor household has more than 50% of the members as the dissolution of the household. So if a couple splits this is the dissolution of a two-person household and the new formation of two one-person households (for example). With this definition dissolution of a household can happen in </w:t>
      </w:r>
      <w:r w:rsidR="00E6659B">
        <w:t>at least</w:t>
      </w:r>
      <w:r w:rsidR="0072308F">
        <w:t xml:space="preserve"> two ways: when all the members of the household die or when the members of the household go different ways with no successor household having more than </w:t>
      </w:r>
      <w:r w:rsidR="006F4CBF">
        <w:t>50% of the members.</w:t>
      </w:r>
    </w:p>
    <w:p w:rsidR="006F4CBF" w:rsidRDefault="006F4CBF" w:rsidP="00087479">
      <w:pPr>
        <w:contextualSpacing/>
      </w:pPr>
    </w:p>
    <w:p w:rsidR="006F4CBF" w:rsidRDefault="006F4CBF" w:rsidP="00087479">
      <w:pPr>
        <w:contextualSpacing/>
      </w:pPr>
      <w:r>
        <w:t xml:space="preserve">There are a number of additional issues that need to be confronted. Firstly, we have to </w:t>
      </w:r>
      <w:r w:rsidR="00E6659B">
        <w:t>decide whether a household that we see for the first time in wave t+1 is a “new” household or a “TSM” household (i.e. a household that existed previously but didn’t get sampled). We again used the “majority” decision-rule: if more than 50% of the members of a household seen in wave t+1 were Temporary Sample Members (TSMs), then the household as a whole was designated as a TSM household. One implication of this is that if a single person (living in the single-person household A in wave t) joins a bigger household B in wave t+1, then B is not the “same” household as household A. Instead we would judge household A to have dissolved. It should be noted that the population of “TSM” and “CSM” households is slightly different for the different household definitions. This means that some of the cross-sectional results using only the “CSM” households may look a little different, depending on the definition.</w:t>
      </w:r>
    </w:p>
    <w:p w:rsidR="00E6659B" w:rsidRDefault="00E6659B" w:rsidP="00087479">
      <w:pPr>
        <w:contextualSpacing/>
      </w:pPr>
    </w:p>
    <w:p w:rsidR="00E6659B" w:rsidRDefault="00E6659B" w:rsidP="00087479">
      <w:pPr>
        <w:contextualSpacing/>
      </w:pPr>
      <w:r>
        <w:t xml:space="preserve">Secondly, we need to confront the issue of attrition. If we do not observe more than 50% of the members of a household in the next wave, we have no way of working out whether the household continues (and which household is the successor) or if it dissolves. Correcting for this attrition problem is harder in this case than with our original definition, since most of the losses to follow-up occur when people and households move. With the definition used in the </w:t>
      </w:r>
      <w:r w:rsidR="00351888">
        <w:t>main body of the paper we can</w:t>
      </w:r>
      <w:r>
        <w:t xml:space="preserve"> classify these occurrences as </w:t>
      </w:r>
      <w:r w:rsidR="00351888">
        <w:t xml:space="preserve">definitely </w:t>
      </w:r>
      <w:r>
        <w:t>household dissolutions. It would, however, lead to an underestimate of new household formation. A simple weighting corre</w:t>
      </w:r>
      <w:r w:rsidR="00351888">
        <w:t>ction can deal with that. In the</w:t>
      </w:r>
      <w:r>
        <w:t xml:space="preserve"> case</w:t>
      </w:r>
      <w:r w:rsidR="00351888">
        <w:t xml:space="preserve"> of the “majority” rule household definition</w:t>
      </w:r>
      <w:r>
        <w:t>, however, we would need to apportion the missing households between “dissolving” and “continuing”. For the purposes of these sensitivity analyses we assumed that this proportion was the same as that for households that we continued to observe.</w:t>
      </w:r>
    </w:p>
    <w:p w:rsidR="00E6659B" w:rsidRDefault="00E6659B" w:rsidP="00087479">
      <w:pPr>
        <w:contextualSpacing/>
      </w:pPr>
    </w:p>
    <w:p w:rsidR="00E6659B" w:rsidRDefault="00E6659B" w:rsidP="00087479">
      <w:pPr>
        <w:contextualSpacing/>
      </w:pPr>
      <w:r>
        <w:t>What are the implications of these definitions of “surviving”, “dissolving” and “newly forming” households for the dynamic analyses that we report in the paper? Below we reproduce the new versions of Table 2 and Table 4 using the altered definitions.</w:t>
      </w:r>
      <w:r w:rsidR="00351888">
        <w:t xml:space="preserve"> In both cases the qualitative results reported in the main body of the paper do not change.</w:t>
      </w:r>
    </w:p>
    <w:p w:rsidR="00E6659B" w:rsidRDefault="00E6659B" w:rsidP="00087479">
      <w:pPr>
        <w:contextualSpacing/>
      </w:pPr>
    </w:p>
    <w:p w:rsidR="00E6659B" w:rsidRDefault="00E6659B" w:rsidP="00087479">
      <w:pPr>
        <w:contextualSpacing/>
      </w:pPr>
    </w:p>
    <w:p w:rsidR="00E6659B" w:rsidRDefault="00E6659B" w:rsidP="00E6659B">
      <w:pPr>
        <w:pStyle w:val="Caption"/>
        <w:keepNext/>
      </w:pPr>
      <w:r>
        <w:lastRenderedPageBreak/>
        <w:t xml:space="preserve">Table 2 Decomposing change in household size (Alternative </w:t>
      </w:r>
      <w:r w:rsidR="006A6F57">
        <w:t xml:space="preserve">household </w:t>
      </w:r>
      <w:r>
        <w:t>definition)</w:t>
      </w:r>
    </w:p>
    <w:tbl>
      <w:tblPr>
        <w:tblW w:w="4800" w:type="dxa"/>
        <w:tblLook w:val="04A0" w:firstRow="1" w:lastRow="0" w:firstColumn="1" w:lastColumn="0" w:noHBand="0" w:noVBand="1"/>
      </w:tblPr>
      <w:tblGrid>
        <w:gridCol w:w="987"/>
        <w:gridCol w:w="933"/>
        <w:gridCol w:w="960"/>
        <w:gridCol w:w="960"/>
        <w:gridCol w:w="960"/>
      </w:tblGrid>
      <w:tr w:rsidR="00E6659B" w:rsidRPr="00E6659B" w:rsidTr="00E6659B">
        <w:trPr>
          <w:trHeight w:val="510"/>
        </w:trPr>
        <w:tc>
          <w:tcPr>
            <w:tcW w:w="987" w:type="dxa"/>
            <w:tcBorders>
              <w:top w:val="single" w:sz="4" w:space="0" w:color="auto"/>
              <w:left w:val="single" w:sz="4" w:space="0" w:color="auto"/>
              <w:bottom w:val="single" w:sz="4" w:space="0" w:color="auto"/>
              <w:right w:val="nil"/>
            </w:tcBorders>
            <w:shd w:val="clear" w:color="auto" w:fill="auto"/>
            <w:vAlign w:val="bottom"/>
            <w:hideMark/>
          </w:tcPr>
          <w:p w:rsidR="00E6659B" w:rsidRPr="00E6659B" w:rsidRDefault="00E6659B" w:rsidP="00E6659B">
            <w:pPr>
              <w:spacing w:after="0" w:line="240" w:lineRule="auto"/>
              <w:rPr>
                <w:rFonts w:ascii="Arial" w:eastAsia="Times New Roman" w:hAnsi="Arial" w:cs="Arial"/>
                <w:b/>
                <w:bCs/>
                <w:sz w:val="20"/>
                <w:szCs w:val="20"/>
              </w:rPr>
            </w:pPr>
            <w:r w:rsidRPr="00E6659B">
              <w:rPr>
                <w:rFonts w:ascii="Arial" w:eastAsia="Times New Roman" w:hAnsi="Arial" w:cs="Arial"/>
                <w:b/>
                <w:bCs/>
                <w:sz w:val="20"/>
                <w:szCs w:val="20"/>
              </w:rPr>
              <w:t>Panel  B: NIDS</w:t>
            </w:r>
          </w:p>
        </w:tc>
        <w:tc>
          <w:tcPr>
            <w:tcW w:w="933" w:type="dxa"/>
            <w:tcBorders>
              <w:top w:val="single" w:sz="4" w:space="0" w:color="auto"/>
              <w:left w:val="single" w:sz="4" w:space="0" w:color="auto"/>
              <w:bottom w:val="single" w:sz="4" w:space="0" w:color="auto"/>
              <w:right w:val="nil"/>
            </w:tcBorders>
            <w:shd w:val="clear" w:color="auto" w:fill="auto"/>
            <w:vAlign w:val="bottom"/>
            <w:hideMark/>
          </w:tcPr>
          <w:p w:rsidR="00E6659B" w:rsidRPr="00E6659B" w:rsidRDefault="00E6659B" w:rsidP="00E6659B">
            <w:pPr>
              <w:spacing w:after="0" w:line="240" w:lineRule="auto"/>
              <w:jc w:val="center"/>
              <w:rPr>
                <w:rFonts w:ascii="Arial" w:eastAsia="Times New Roman" w:hAnsi="Arial" w:cs="Arial"/>
                <w:b/>
                <w:bCs/>
                <w:sz w:val="20"/>
                <w:szCs w:val="20"/>
              </w:rPr>
            </w:pPr>
            <w:r w:rsidRPr="00E6659B">
              <w:rPr>
                <w:rFonts w:ascii="Arial" w:eastAsia="Times New Roman" w:hAnsi="Arial" w:cs="Arial"/>
                <w:b/>
                <w:bCs/>
                <w:sz w:val="20"/>
                <w:szCs w:val="20"/>
              </w:rPr>
              <w:t>overall change</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E6659B" w:rsidRPr="00E6659B" w:rsidRDefault="00E6659B" w:rsidP="00E6659B">
            <w:pPr>
              <w:spacing w:after="0" w:line="240" w:lineRule="auto"/>
              <w:jc w:val="center"/>
              <w:rPr>
                <w:rFonts w:ascii="Arial" w:eastAsia="Times New Roman" w:hAnsi="Arial" w:cs="Arial"/>
                <w:b/>
                <w:bCs/>
                <w:sz w:val="20"/>
                <w:szCs w:val="20"/>
              </w:rPr>
            </w:pPr>
            <w:r w:rsidRPr="00E6659B">
              <w:rPr>
                <w:rFonts w:ascii="Arial" w:eastAsia="Times New Roman" w:hAnsi="Arial" w:cs="Arial"/>
                <w:b/>
                <w:bCs/>
                <w:sz w:val="20"/>
                <w:szCs w:val="20"/>
              </w:rPr>
              <w:t>within</w:t>
            </w:r>
          </w:p>
        </w:tc>
        <w:tc>
          <w:tcPr>
            <w:tcW w:w="960" w:type="dxa"/>
            <w:tcBorders>
              <w:top w:val="single" w:sz="4" w:space="0" w:color="auto"/>
              <w:left w:val="nil"/>
              <w:bottom w:val="single" w:sz="4" w:space="0" w:color="auto"/>
              <w:right w:val="nil"/>
            </w:tcBorders>
            <w:shd w:val="clear" w:color="auto" w:fill="auto"/>
            <w:noWrap/>
            <w:vAlign w:val="bottom"/>
            <w:hideMark/>
          </w:tcPr>
          <w:p w:rsidR="00E6659B" w:rsidRPr="00E6659B" w:rsidRDefault="00E6659B" w:rsidP="00E6659B">
            <w:pPr>
              <w:spacing w:after="0" w:line="240" w:lineRule="auto"/>
              <w:jc w:val="center"/>
              <w:rPr>
                <w:rFonts w:ascii="Arial" w:eastAsia="Times New Roman" w:hAnsi="Arial" w:cs="Arial"/>
                <w:b/>
                <w:bCs/>
                <w:sz w:val="20"/>
                <w:szCs w:val="20"/>
              </w:rPr>
            </w:pPr>
            <w:r w:rsidRPr="00E6659B">
              <w:rPr>
                <w:rFonts w:ascii="Arial" w:eastAsia="Times New Roman" w:hAnsi="Arial" w:cs="Arial"/>
                <w:b/>
                <w:bCs/>
                <w:sz w:val="20"/>
                <w:szCs w:val="20"/>
              </w:rPr>
              <w:t>replace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659B" w:rsidRPr="00E6659B" w:rsidRDefault="00E6659B" w:rsidP="00E6659B">
            <w:pPr>
              <w:spacing w:after="0" w:line="240" w:lineRule="auto"/>
              <w:jc w:val="center"/>
              <w:rPr>
                <w:rFonts w:ascii="Arial" w:eastAsia="Times New Roman" w:hAnsi="Arial" w:cs="Arial"/>
                <w:b/>
                <w:bCs/>
                <w:sz w:val="20"/>
                <w:szCs w:val="20"/>
              </w:rPr>
            </w:pPr>
            <w:r w:rsidRPr="00E6659B">
              <w:rPr>
                <w:rFonts w:ascii="Arial" w:eastAsia="Times New Roman" w:hAnsi="Arial" w:cs="Arial"/>
                <w:b/>
                <w:bCs/>
                <w:sz w:val="20"/>
                <w:szCs w:val="20"/>
              </w:rPr>
              <w:t>dilute</w:t>
            </w:r>
          </w:p>
        </w:tc>
      </w:tr>
      <w:tr w:rsidR="00E6659B" w:rsidRPr="00E6659B" w:rsidTr="00E6659B">
        <w:trPr>
          <w:trHeight w:val="255"/>
        </w:trPr>
        <w:tc>
          <w:tcPr>
            <w:tcW w:w="987" w:type="dxa"/>
            <w:tcBorders>
              <w:top w:val="nil"/>
              <w:left w:val="single" w:sz="4" w:space="0" w:color="auto"/>
              <w:right w:val="nil"/>
            </w:tcBorders>
            <w:shd w:val="clear" w:color="auto" w:fill="auto"/>
            <w:noWrap/>
            <w:vAlign w:val="bottom"/>
            <w:hideMark/>
          </w:tcPr>
          <w:p w:rsidR="00E6659B" w:rsidRPr="00E6659B" w:rsidRDefault="00E6659B" w:rsidP="00E6659B">
            <w:pPr>
              <w:spacing w:after="0" w:line="240" w:lineRule="auto"/>
              <w:rPr>
                <w:rFonts w:ascii="Arial" w:eastAsia="Times New Roman" w:hAnsi="Arial" w:cs="Arial"/>
                <w:sz w:val="20"/>
                <w:szCs w:val="20"/>
              </w:rPr>
            </w:pPr>
            <w:r w:rsidRPr="00E6659B">
              <w:rPr>
                <w:rFonts w:ascii="Arial" w:eastAsia="Times New Roman" w:hAnsi="Arial" w:cs="Arial"/>
                <w:sz w:val="20"/>
                <w:szCs w:val="20"/>
              </w:rPr>
              <w:t>2008-10</w:t>
            </w:r>
          </w:p>
        </w:tc>
        <w:tc>
          <w:tcPr>
            <w:tcW w:w="933" w:type="dxa"/>
            <w:tcBorders>
              <w:top w:val="nil"/>
              <w:left w:val="single" w:sz="4" w:space="0" w:color="auto"/>
              <w:right w:val="single" w:sz="4" w:space="0" w:color="auto"/>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0.090</w:t>
            </w:r>
          </w:p>
        </w:tc>
        <w:tc>
          <w:tcPr>
            <w:tcW w:w="960" w:type="dxa"/>
            <w:tcBorders>
              <w:top w:val="nil"/>
              <w:left w:val="nil"/>
              <w:right w:val="nil"/>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0.277</w:t>
            </w:r>
          </w:p>
        </w:tc>
        <w:tc>
          <w:tcPr>
            <w:tcW w:w="960" w:type="dxa"/>
            <w:tcBorders>
              <w:top w:val="nil"/>
              <w:left w:val="nil"/>
              <w:right w:val="nil"/>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-0.152</w:t>
            </w:r>
          </w:p>
        </w:tc>
        <w:tc>
          <w:tcPr>
            <w:tcW w:w="960" w:type="dxa"/>
            <w:tcBorders>
              <w:top w:val="nil"/>
              <w:left w:val="nil"/>
              <w:right w:val="single" w:sz="4" w:space="0" w:color="auto"/>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-0.035</w:t>
            </w:r>
          </w:p>
        </w:tc>
      </w:tr>
      <w:tr w:rsidR="00E6659B" w:rsidRPr="00E6659B" w:rsidTr="00E6659B">
        <w:trPr>
          <w:trHeight w:val="255"/>
        </w:trPr>
        <w:tc>
          <w:tcPr>
            <w:tcW w:w="987" w:type="dxa"/>
            <w:tcBorders>
              <w:top w:val="nil"/>
              <w:left w:val="single" w:sz="4" w:space="0" w:color="auto"/>
              <w:bottom w:val="single" w:sz="4" w:space="0" w:color="auto"/>
              <w:right w:val="nil"/>
            </w:tcBorders>
            <w:shd w:val="clear" w:color="auto" w:fill="auto"/>
            <w:noWrap/>
            <w:vAlign w:val="bottom"/>
            <w:hideMark/>
          </w:tcPr>
          <w:p w:rsidR="00E6659B" w:rsidRPr="00E6659B" w:rsidRDefault="00E6659B" w:rsidP="00E6659B">
            <w:pPr>
              <w:spacing w:after="0" w:line="240" w:lineRule="auto"/>
              <w:rPr>
                <w:rFonts w:ascii="Arial" w:eastAsia="Times New Roman" w:hAnsi="Arial" w:cs="Arial"/>
                <w:sz w:val="20"/>
                <w:szCs w:val="20"/>
              </w:rPr>
            </w:pPr>
            <w:r w:rsidRPr="00E6659B">
              <w:rPr>
                <w:rFonts w:ascii="Arial" w:eastAsia="Times New Roman" w:hAnsi="Arial" w:cs="Arial"/>
                <w:sz w:val="20"/>
                <w:szCs w:val="20"/>
              </w:rPr>
              <w:t>2010-12</w:t>
            </w:r>
          </w:p>
        </w:tc>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-0.402</w:t>
            </w:r>
          </w:p>
        </w:tc>
        <w:tc>
          <w:tcPr>
            <w:tcW w:w="960" w:type="dxa"/>
            <w:tcBorders>
              <w:top w:val="nil"/>
              <w:left w:val="nil"/>
              <w:bottom w:val="single" w:sz="4" w:space="0" w:color="auto"/>
              <w:right w:val="nil"/>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0.096</w:t>
            </w:r>
          </w:p>
        </w:tc>
        <w:tc>
          <w:tcPr>
            <w:tcW w:w="960" w:type="dxa"/>
            <w:tcBorders>
              <w:top w:val="nil"/>
              <w:left w:val="nil"/>
              <w:bottom w:val="single" w:sz="4" w:space="0" w:color="auto"/>
              <w:right w:val="nil"/>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-0.217</w:t>
            </w:r>
          </w:p>
        </w:tc>
        <w:tc>
          <w:tcPr>
            <w:tcW w:w="960" w:type="dxa"/>
            <w:tcBorders>
              <w:top w:val="nil"/>
              <w:left w:val="nil"/>
              <w:bottom w:val="single" w:sz="4" w:space="0" w:color="auto"/>
              <w:right w:val="single" w:sz="4" w:space="0" w:color="auto"/>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-0.281</w:t>
            </w:r>
          </w:p>
        </w:tc>
      </w:tr>
      <w:tr w:rsidR="00E6659B" w:rsidRPr="00E6659B" w:rsidTr="00E6659B">
        <w:trPr>
          <w:trHeight w:val="255"/>
        </w:trPr>
        <w:tc>
          <w:tcPr>
            <w:tcW w:w="987" w:type="dxa"/>
            <w:tcBorders>
              <w:top w:val="single" w:sz="4" w:space="0" w:color="auto"/>
              <w:left w:val="single" w:sz="4" w:space="0" w:color="auto"/>
              <w:bottom w:val="single" w:sz="4" w:space="0" w:color="auto"/>
              <w:right w:val="nil"/>
            </w:tcBorders>
            <w:shd w:val="clear" w:color="auto" w:fill="auto"/>
            <w:noWrap/>
            <w:vAlign w:val="bottom"/>
            <w:hideMark/>
          </w:tcPr>
          <w:p w:rsidR="00E6659B" w:rsidRPr="00E6659B" w:rsidRDefault="00E6659B" w:rsidP="00E6659B">
            <w:pPr>
              <w:spacing w:after="0" w:line="240" w:lineRule="auto"/>
              <w:rPr>
                <w:rFonts w:ascii="Arial" w:eastAsia="Times New Roman" w:hAnsi="Arial" w:cs="Arial"/>
                <w:sz w:val="20"/>
                <w:szCs w:val="20"/>
              </w:rPr>
            </w:pPr>
            <w:r w:rsidRPr="00E6659B">
              <w:rPr>
                <w:rFonts w:ascii="Arial" w:eastAsia="Times New Roman" w:hAnsi="Arial" w:cs="Arial"/>
                <w:sz w:val="20"/>
                <w:szCs w:val="20"/>
              </w:rPr>
              <w:t>2008-2012</w:t>
            </w:r>
          </w:p>
        </w:tc>
        <w:tc>
          <w:tcPr>
            <w:tcW w:w="933" w:type="dxa"/>
            <w:tcBorders>
              <w:top w:val="single" w:sz="4" w:space="0" w:color="auto"/>
              <w:left w:val="single" w:sz="4" w:space="0" w:color="auto"/>
              <w:bottom w:val="single" w:sz="4" w:space="0" w:color="auto"/>
              <w:right w:val="nil"/>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-0.312</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0.373</w:t>
            </w:r>
          </w:p>
        </w:tc>
        <w:tc>
          <w:tcPr>
            <w:tcW w:w="960" w:type="dxa"/>
            <w:tcBorders>
              <w:top w:val="single" w:sz="4" w:space="0" w:color="auto"/>
              <w:left w:val="nil"/>
              <w:bottom w:val="single" w:sz="4" w:space="0" w:color="auto"/>
              <w:right w:val="nil"/>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-0.369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-0.317</w:t>
            </w:r>
          </w:p>
        </w:tc>
      </w:tr>
    </w:tbl>
    <w:p w:rsidR="00E6659B" w:rsidRDefault="00E6659B" w:rsidP="00087479">
      <w:pPr>
        <w:contextualSpacing/>
      </w:pPr>
    </w:p>
    <w:p w:rsidR="00E6659B" w:rsidRDefault="00E6659B" w:rsidP="00E6659B">
      <w:pPr>
        <w:pStyle w:val="Caption"/>
        <w:keepNext/>
      </w:pPr>
      <w:r>
        <w:t>Table 4 Decomposing change in electricity availability (</w:t>
      </w:r>
      <w:r w:rsidR="006A6F57">
        <w:t>Alternative household definition)</w:t>
      </w:r>
      <w:bookmarkStart w:id="0" w:name="_GoBack"/>
      <w:bookmarkEnd w:id="0"/>
    </w:p>
    <w:tbl>
      <w:tblPr>
        <w:tblW w:w="4800" w:type="dxa"/>
        <w:tblLook w:val="04A0" w:firstRow="1" w:lastRow="0" w:firstColumn="1" w:lastColumn="0" w:noHBand="0" w:noVBand="1"/>
      </w:tblPr>
      <w:tblGrid>
        <w:gridCol w:w="987"/>
        <w:gridCol w:w="933"/>
        <w:gridCol w:w="960"/>
        <w:gridCol w:w="960"/>
        <w:gridCol w:w="960"/>
      </w:tblGrid>
      <w:tr w:rsidR="00E6659B" w:rsidRPr="00E6659B" w:rsidTr="00E6659B">
        <w:trPr>
          <w:trHeight w:val="510"/>
        </w:trPr>
        <w:tc>
          <w:tcPr>
            <w:tcW w:w="987" w:type="dxa"/>
            <w:tcBorders>
              <w:top w:val="single" w:sz="4" w:space="0" w:color="auto"/>
              <w:left w:val="single" w:sz="4" w:space="0" w:color="auto"/>
              <w:bottom w:val="single" w:sz="4" w:space="0" w:color="auto"/>
              <w:right w:val="nil"/>
            </w:tcBorders>
            <w:shd w:val="clear" w:color="auto" w:fill="auto"/>
            <w:vAlign w:val="bottom"/>
            <w:hideMark/>
          </w:tcPr>
          <w:p w:rsidR="00E6659B" w:rsidRPr="00E6659B" w:rsidRDefault="00E6659B" w:rsidP="00E6659B">
            <w:pPr>
              <w:spacing w:after="0" w:line="240" w:lineRule="auto"/>
              <w:rPr>
                <w:rFonts w:ascii="Arial" w:eastAsia="Times New Roman" w:hAnsi="Arial" w:cs="Arial"/>
                <w:b/>
                <w:bCs/>
                <w:sz w:val="20"/>
                <w:szCs w:val="20"/>
              </w:rPr>
            </w:pPr>
            <w:r w:rsidRPr="00E6659B">
              <w:rPr>
                <w:rFonts w:ascii="Arial" w:eastAsia="Times New Roman" w:hAnsi="Arial" w:cs="Arial"/>
                <w:b/>
                <w:bCs/>
                <w:sz w:val="20"/>
                <w:szCs w:val="20"/>
              </w:rPr>
              <w:t>Panel  B: NIDS</w:t>
            </w:r>
          </w:p>
        </w:tc>
        <w:tc>
          <w:tcPr>
            <w:tcW w:w="933" w:type="dxa"/>
            <w:tcBorders>
              <w:top w:val="single" w:sz="4" w:space="0" w:color="auto"/>
              <w:left w:val="single" w:sz="4" w:space="0" w:color="auto"/>
              <w:bottom w:val="single" w:sz="4" w:space="0" w:color="auto"/>
              <w:right w:val="nil"/>
            </w:tcBorders>
            <w:shd w:val="clear" w:color="auto" w:fill="auto"/>
            <w:vAlign w:val="bottom"/>
            <w:hideMark/>
          </w:tcPr>
          <w:p w:rsidR="00E6659B" w:rsidRPr="00E6659B" w:rsidRDefault="00E6659B" w:rsidP="00E6659B">
            <w:pPr>
              <w:spacing w:after="0" w:line="240" w:lineRule="auto"/>
              <w:jc w:val="center"/>
              <w:rPr>
                <w:rFonts w:ascii="Arial" w:eastAsia="Times New Roman" w:hAnsi="Arial" w:cs="Arial"/>
                <w:b/>
                <w:bCs/>
                <w:sz w:val="20"/>
                <w:szCs w:val="20"/>
              </w:rPr>
            </w:pPr>
            <w:r w:rsidRPr="00E6659B">
              <w:rPr>
                <w:rFonts w:ascii="Arial" w:eastAsia="Times New Roman" w:hAnsi="Arial" w:cs="Arial"/>
                <w:b/>
                <w:bCs/>
                <w:sz w:val="20"/>
                <w:szCs w:val="20"/>
              </w:rPr>
              <w:t>overall change</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E6659B" w:rsidRPr="00E6659B" w:rsidRDefault="00E6659B" w:rsidP="00E6659B">
            <w:pPr>
              <w:spacing w:after="0" w:line="240" w:lineRule="auto"/>
              <w:jc w:val="center"/>
              <w:rPr>
                <w:rFonts w:ascii="Arial" w:eastAsia="Times New Roman" w:hAnsi="Arial" w:cs="Arial"/>
                <w:b/>
                <w:bCs/>
                <w:sz w:val="20"/>
                <w:szCs w:val="20"/>
              </w:rPr>
            </w:pPr>
            <w:r w:rsidRPr="00E6659B">
              <w:rPr>
                <w:rFonts w:ascii="Arial" w:eastAsia="Times New Roman" w:hAnsi="Arial" w:cs="Arial"/>
                <w:b/>
                <w:bCs/>
                <w:sz w:val="20"/>
                <w:szCs w:val="20"/>
              </w:rPr>
              <w:t>within</w:t>
            </w:r>
          </w:p>
        </w:tc>
        <w:tc>
          <w:tcPr>
            <w:tcW w:w="960" w:type="dxa"/>
            <w:tcBorders>
              <w:top w:val="single" w:sz="4" w:space="0" w:color="auto"/>
              <w:left w:val="nil"/>
              <w:bottom w:val="single" w:sz="4" w:space="0" w:color="auto"/>
              <w:right w:val="nil"/>
            </w:tcBorders>
            <w:shd w:val="clear" w:color="auto" w:fill="auto"/>
            <w:noWrap/>
            <w:vAlign w:val="bottom"/>
            <w:hideMark/>
          </w:tcPr>
          <w:p w:rsidR="00E6659B" w:rsidRPr="00E6659B" w:rsidRDefault="00E6659B" w:rsidP="00E6659B">
            <w:pPr>
              <w:spacing w:after="0" w:line="240" w:lineRule="auto"/>
              <w:jc w:val="center"/>
              <w:rPr>
                <w:rFonts w:ascii="Arial" w:eastAsia="Times New Roman" w:hAnsi="Arial" w:cs="Arial"/>
                <w:b/>
                <w:bCs/>
                <w:sz w:val="20"/>
                <w:szCs w:val="20"/>
              </w:rPr>
            </w:pPr>
            <w:r w:rsidRPr="00E6659B">
              <w:rPr>
                <w:rFonts w:ascii="Arial" w:eastAsia="Times New Roman" w:hAnsi="Arial" w:cs="Arial"/>
                <w:b/>
                <w:bCs/>
                <w:sz w:val="20"/>
                <w:szCs w:val="20"/>
              </w:rPr>
              <w:t>replace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659B" w:rsidRPr="00E6659B" w:rsidRDefault="00E6659B" w:rsidP="00E6659B">
            <w:pPr>
              <w:spacing w:after="0" w:line="240" w:lineRule="auto"/>
              <w:jc w:val="center"/>
              <w:rPr>
                <w:rFonts w:ascii="Arial" w:eastAsia="Times New Roman" w:hAnsi="Arial" w:cs="Arial"/>
                <w:b/>
                <w:bCs/>
                <w:sz w:val="20"/>
                <w:szCs w:val="20"/>
              </w:rPr>
            </w:pPr>
            <w:r w:rsidRPr="00E6659B">
              <w:rPr>
                <w:rFonts w:ascii="Arial" w:eastAsia="Times New Roman" w:hAnsi="Arial" w:cs="Arial"/>
                <w:b/>
                <w:bCs/>
                <w:sz w:val="20"/>
                <w:szCs w:val="20"/>
              </w:rPr>
              <w:t>dilute</w:t>
            </w:r>
          </w:p>
        </w:tc>
      </w:tr>
      <w:tr w:rsidR="00E6659B" w:rsidRPr="00E6659B" w:rsidTr="00E6659B">
        <w:trPr>
          <w:trHeight w:val="255"/>
        </w:trPr>
        <w:tc>
          <w:tcPr>
            <w:tcW w:w="987" w:type="dxa"/>
            <w:tcBorders>
              <w:top w:val="nil"/>
              <w:left w:val="single" w:sz="4" w:space="0" w:color="auto"/>
              <w:bottom w:val="nil"/>
              <w:right w:val="single" w:sz="4" w:space="0" w:color="auto"/>
            </w:tcBorders>
            <w:shd w:val="clear" w:color="auto" w:fill="auto"/>
            <w:noWrap/>
            <w:vAlign w:val="bottom"/>
            <w:hideMark/>
          </w:tcPr>
          <w:p w:rsidR="00E6659B" w:rsidRPr="00E6659B" w:rsidRDefault="00E6659B" w:rsidP="00E6659B">
            <w:pPr>
              <w:spacing w:after="0" w:line="240" w:lineRule="auto"/>
              <w:rPr>
                <w:rFonts w:ascii="Arial" w:eastAsia="Times New Roman" w:hAnsi="Arial" w:cs="Arial"/>
                <w:sz w:val="20"/>
                <w:szCs w:val="20"/>
              </w:rPr>
            </w:pPr>
            <w:r w:rsidRPr="00E6659B">
              <w:rPr>
                <w:rFonts w:ascii="Arial" w:eastAsia="Times New Roman" w:hAnsi="Arial" w:cs="Arial"/>
                <w:sz w:val="20"/>
                <w:szCs w:val="20"/>
              </w:rPr>
              <w:t>2008-10</w:t>
            </w:r>
          </w:p>
        </w:tc>
        <w:tc>
          <w:tcPr>
            <w:tcW w:w="933" w:type="dxa"/>
            <w:tcBorders>
              <w:top w:val="nil"/>
              <w:left w:val="nil"/>
              <w:bottom w:val="nil"/>
              <w:right w:val="single" w:sz="4" w:space="0" w:color="auto"/>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-0.014</w:t>
            </w:r>
          </w:p>
        </w:tc>
        <w:tc>
          <w:tcPr>
            <w:tcW w:w="960" w:type="dxa"/>
            <w:tcBorders>
              <w:top w:val="nil"/>
              <w:left w:val="nil"/>
              <w:bottom w:val="nil"/>
              <w:right w:val="nil"/>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-0.011</w:t>
            </w:r>
          </w:p>
        </w:tc>
        <w:tc>
          <w:tcPr>
            <w:tcW w:w="960" w:type="dxa"/>
            <w:tcBorders>
              <w:top w:val="nil"/>
              <w:left w:val="nil"/>
              <w:bottom w:val="nil"/>
              <w:right w:val="nil"/>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-0.003</w:t>
            </w:r>
          </w:p>
        </w:tc>
        <w:tc>
          <w:tcPr>
            <w:tcW w:w="960" w:type="dxa"/>
            <w:tcBorders>
              <w:top w:val="nil"/>
              <w:left w:val="nil"/>
              <w:bottom w:val="nil"/>
              <w:right w:val="single" w:sz="4" w:space="0" w:color="auto"/>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-0.001</w:t>
            </w:r>
          </w:p>
        </w:tc>
      </w:tr>
      <w:tr w:rsidR="00E6659B" w:rsidRPr="00E6659B" w:rsidTr="00E6659B">
        <w:trPr>
          <w:trHeight w:val="255"/>
        </w:trPr>
        <w:tc>
          <w:tcPr>
            <w:tcW w:w="987" w:type="dxa"/>
            <w:tcBorders>
              <w:top w:val="nil"/>
              <w:left w:val="single" w:sz="4" w:space="0" w:color="auto"/>
              <w:bottom w:val="nil"/>
              <w:right w:val="single" w:sz="4" w:space="0" w:color="auto"/>
            </w:tcBorders>
            <w:shd w:val="clear" w:color="auto" w:fill="auto"/>
            <w:noWrap/>
            <w:vAlign w:val="bottom"/>
            <w:hideMark/>
          </w:tcPr>
          <w:p w:rsidR="00E6659B" w:rsidRPr="00E6659B" w:rsidRDefault="00E6659B" w:rsidP="00E6659B">
            <w:pPr>
              <w:spacing w:after="0" w:line="240" w:lineRule="auto"/>
              <w:rPr>
                <w:rFonts w:ascii="Arial" w:eastAsia="Times New Roman" w:hAnsi="Arial" w:cs="Arial"/>
                <w:sz w:val="20"/>
                <w:szCs w:val="20"/>
              </w:rPr>
            </w:pPr>
            <w:r w:rsidRPr="00E6659B">
              <w:rPr>
                <w:rFonts w:ascii="Arial" w:eastAsia="Times New Roman" w:hAnsi="Arial" w:cs="Arial"/>
                <w:sz w:val="20"/>
                <w:szCs w:val="20"/>
              </w:rPr>
              <w:t>2010-12</w:t>
            </w:r>
          </w:p>
        </w:tc>
        <w:tc>
          <w:tcPr>
            <w:tcW w:w="933" w:type="dxa"/>
            <w:tcBorders>
              <w:top w:val="nil"/>
              <w:left w:val="nil"/>
              <w:bottom w:val="nil"/>
              <w:right w:val="single" w:sz="4" w:space="0" w:color="auto"/>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0.074</w:t>
            </w:r>
          </w:p>
        </w:tc>
        <w:tc>
          <w:tcPr>
            <w:tcW w:w="960" w:type="dxa"/>
            <w:tcBorders>
              <w:top w:val="nil"/>
              <w:left w:val="nil"/>
              <w:bottom w:val="nil"/>
              <w:right w:val="nil"/>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0.061</w:t>
            </w:r>
          </w:p>
        </w:tc>
        <w:tc>
          <w:tcPr>
            <w:tcW w:w="960" w:type="dxa"/>
            <w:tcBorders>
              <w:top w:val="nil"/>
              <w:left w:val="nil"/>
              <w:bottom w:val="nil"/>
              <w:right w:val="nil"/>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0.013</w:t>
            </w:r>
          </w:p>
        </w:tc>
        <w:tc>
          <w:tcPr>
            <w:tcW w:w="960" w:type="dxa"/>
            <w:tcBorders>
              <w:top w:val="nil"/>
              <w:left w:val="nil"/>
              <w:bottom w:val="nil"/>
              <w:right w:val="single" w:sz="4" w:space="0" w:color="auto"/>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0.000</w:t>
            </w:r>
          </w:p>
        </w:tc>
      </w:tr>
      <w:tr w:rsidR="00E6659B" w:rsidRPr="00E6659B" w:rsidTr="00E6659B">
        <w:trPr>
          <w:trHeight w:val="255"/>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59B" w:rsidRPr="00E6659B" w:rsidRDefault="00E6659B" w:rsidP="00E6659B">
            <w:pPr>
              <w:spacing w:after="0" w:line="240" w:lineRule="auto"/>
              <w:rPr>
                <w:rFonts w:ascii="Arial" w:eastAsia="Times New Roman" w:hAnsi="Arial" w:cs="Arial"/>
                <w:sz w:val="20"/>
                <w:szCs w:val="20"/>
              </w:rPr>
            </w:pPr>
            <w:r w:rsidRPr="00E6659B">
              <w:rPr>
                <w:rFonts w:ascii="Arial" w:eastAsia="Times New Roman" w:hAnsi="Arial" w:cs="Arial"/>
                <w:sz w:val="20"/>
                <w:szCs w:val="20"/>
              </w:rPr>
              <w:t>2008-2012</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0.060</w:t>
            </w:r>
          </w:p>
        </w:tc>
        <w:tc>
          <w:tcPr>
            <w:tcW w:w="960" w:type="dxa"/>
            <w:tcBorders>
              <w:top w:val="single" w:sz="4" w:space="0" w:color="auto"/>
              <w:left w:val="nil"/>
              <w:bottom w:val="single" w:sz="4" w:space="0" w:color="auto"/>
              <w:right w:val="nil"/>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0.051</w:t>
            </w:r>
          </w:p>
        </w:tc>
        <w:tc>
          <w:tcPr>
            <w:tcW w:w="960" w:type="dxa"/>
            <w:tcBorders>
              <w:top w:val="single" w:sz="4" w:space="0" w:color="auto"/>
              <w:left w:val="nil"/>
              <w:bottom w:val="single" w:sz="4" w:space="0" w:color="auto"/>
              <w:right w:val="nil"/>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0.010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659B" w:rsidRPr="00E6659B" w:rsidRDefault="00E6659B" w:rsidP="00E6659B">
            <w:pPr>
              <w:spacing w:after="0" w:line="240" w:lineRule="auto"/>
              <w:jc w:val="right"/>
              <w:rPr>
                <w:rFonts w:ascii="Arial" w:eastAsia="Times New Roman" w:hAnsi="Arial" w:cs="Arial"/>
                <w:sz w:val="20"/>
                <w:szCs w:val="20"/>
              </w:rPr>
            </w:pPr>
            <w:r w:rsidRPr="00E6659B">
              <w:rPr>
                <w:rFonts w:ascii="Arial" w:eastAsia="Times New Roman" w:hAnsi="Arial" w:cs="Arial"/>
                <w:sz w:val="20"/>
                <w:szCs w:val="20"/>
              </w:rPr>
              <w:t>-0.001</w:t>
            </w:r>
          </w:p>
        </w:tc>
      </w:tr>
    </w:tbl>
    <w:p w:rsidR="00E6659B" w:rsidRPr="00087479" w:rsidRDefault="00E6659B" w:rsidP="00087479">
      <w:pPr>
        <w:contextualSpacing/>
      </w:pPr>
    </w:p>
    <w:sectPr w:rsidR="00E6659B" w:rsidRPr="00087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97"/>
    <w:rsid w:val="00013F96"/>
    <w:rsid w:val="00016E7C"/>
    <w:rsid w:val="00087479"/>
    <w:rsid w:val="0009299B"/>
    <w:rsid w:val="000D6BD7"/>
    <w:rsid w:val="002F17C9"/>
    <w:rsid w:val="00351888"/>
    <w:rsid w:val="004C34AC"/>
    <w:rsid w:val="00665BDF"/>
    <w:rsid w:val="006A6F57"/>
    <w:rsid w:val="006F4CBF"/>
    <w:rsid w:val="0072308F"/>
    <w:rsid w:val="00BB4BD9"/>
    <w:rsid w:val="00CB6054"/>
    <w:rsid w:val="00DD1519"/>
    <w:rsid w:val="00DF23D1"/>
    <w:rsid w:val="00E07997"/>
    <w:rsid w:val="00E665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07A1B-E094-4AAC-A311-EF6A5452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997"/>
    <w:pPr>
      <w:spacing w:after="200" w:line="276" w:lineRule="auto"/>
    </w:pPr>
    <w:rPr>
      <w:rFonts w:eastAsiaTheme="minorEastAsia"/>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6Colorful1">
    <w:name w:val="List Table 6 Colorful1"/>
    <w:basedOn w:val="TableNormal"/>
    <w:next w:val="ListTable6Colorful"/>
    <w:uiPriority w:val="51"/>
    <w:rsid w:val="00E07997"/>
    <w:pPr>
      <w:spacing w:after="0" w:line="240" w:lineRule="auto"/>
    </w:pPr>
    <w:rPr>
      <w:rFonts w:eastAsiaTheme="minorEastAsia"/>
      <w:color w:val="000000"/>
      <w:lang w:eastAsia="en-ZA"/>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E0799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0874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479"/>
    <w:rPr>
      <w:rFonts w:asciiTheme="majorHAnsi" w:eastAsiaTheme="majorEastAsia" w:hAnsiTheme="majorHAnsi" w:cstheme="majorBidi"/>
      <w:spacing w:val="-10"/>
      <w:kern w:val="28"/>
      <w:sz w:val="56"/>
      <w:szCs w:val="56"/>
      <w:lang w:eastAsia="en-ZA"/>
    </w:rPr>
  </w:style>
  <w:style w:type="paragraph" w:styleId="Caption">
    <w:name w:val="caption"/>
    <w:basedOn w:val="Normal"/>
    <w:next w:val="Normal"/>
    <w:uiPriority w:val="35"/>
    <w:unhideWhenUsed/>
    <w:qFormat/>
    <w:rsid w:val="00E6659B"/>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077895">
      <w:bodyDiv w:val="1"/>
      <w:marLeft w:val="0"/>
      <w:marRight w:val="0"/>
      <w:marTop w:val="0"/>
      <w:marBottom w:val="0"/>
      <w:divBdr>
        <w:top w:val="none" w:sz="0" w:space="0" w:color="auto"/>
        <w:left w:val="none" w:sz="0" w:space="0" w:color="auto"/>
        <w:bottom w:val="none" w:sz="0" w:space="0" w:color="auto"/>
        <w:right w:val="none" w:sz="0" w:space="0" w:color="auto"/>
      </w:divBdr>
    </w:div>
    <w:div w:id="1883710810">
      <w:bodyDiv w:val="1"/>
      <w:marLeft w:val="0"/>
      <w:marRight w:val="0"/>
      <w:marTop w:val="0"/>
      <w:marBottom w:val="0"/>
      <w:divBdr>
        <w:top w:val="none" w:sz="0" w:space="0" w:color="auto"/>
        <w:left w:val="none" w:sz="0" w:space="0" w:color="auto"/>
        <w:bottom w:val="none" w:sz="0" w:space="0" w:color="auto"/>
        <w:right w:val="none" w:sz="0" w:space="0" w:color="auto"/>
      </w:divBdr>
    </w:div>
    <w:div w:id="19421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Commerce IT</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tom.harris234@gmail.com</dc:creator>
  <cp:keywords/>
  <dc:description/>
  <cp:lastModifiedBy>Martin</cp:lastModifiedBy>
  <cp:revision>6</cp:revision>
  <dcterms:created xsi:type="dcterms:W3CDTF">2017-04-03T11:30:00Z</dcterms:created>
  <dcterms:modified xsi:type="dcterms:W3CDTF">2017-04-04T06:30:00Z</dcterms:modified>
</cp:coreProperties>
</file>